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338" w:rsidRPr="008D0953" w:rsidRDefault="00C65338" w:rsidP="008D0953">
      <w:pPr>
        <w:jc w:val="center"/>
        <w:rPr>
          <w:sz w:val="32"/>
          <w:szCs w:val="32"/>
        </w:rPr>
      </w:pPr>
      <w:r w:rsidRPr="008D0953">
        <w:rPr>
          <w:rFonts w:hint="eastAsia"/>
          <w:sz w:val="32"/>
          <w:szCs w:val="32"/>
        </w:rPr>
        <w:t>國立</w:t>
      </w:r>
      <w:r w:rsidRPr="008D0953">
        <w:rPr>
          <w:rFonts w:hint="eastAsia"/>
          <w:sz w:val="32"/>
          <w:szCs w:val="32"/>
          <w:lang w:eastAsia="zh-HK"/>
        </w:rPr>
        <w:t>政治大學</w:t>
      </w:r>
      <w:r w:rsidR="00502283">
        <w:rPr>
          <w:rFonts w:hint="eastAsia"/>
          <w:sz w:val="32"/>
          <w:szCs w:val="32"/>
          <w:lang w:eastAsia="zh-HK"/>
        </w:rPr>
        <w:t>教育學系</w:t>
      </w:r>
    </w:p>
    <w:p w:rsidR="00C65338" w:rsidRPr="008D0953" w:rsidRDefault="00C65338" w:rsidP="008D0953">
      <w:pPr>
        <w:pStyle w:val="a3"/>
        <w:tabs>
          <w:tab w:val="left" w:pos="8072"/>
          <w:tab w:val="left" w:pos="8793"/>
          <w:tab w:val="left" w:pos="9513"/>
        </w:tabs>
        <w:spacing w:before="0" w:after="0"/>
        <w:ind w:left="0"/>
        <w:jc w:val="center"/>
        <w:rPr>
          <w:sz w:val="32"/>
          <w:szCs w:val="32"/>
        </w:rPr>
      </w:pPr>
      <w:proofErr w:type="gramStart"/>
      <w:r w:rsidRPr="008D0953">
        <w:rPr>
          <w:rFonts w:hint="eastAsia"/>
          <w:sz w:val="32"/>
          <w:szCs w:val="32"/>
        </w:rPr>
        <w:t>修習</w:t>
      </w:r>
      <w:r w:rsidRPr="008D0953">
        <w:rPr>
          <w:rFonts w:hint="eastAsia"/>
          <w:b/>
          <w:sz w:val="32"/>
          <w:szCs w:val="32"/>
          <w:lang w:eastAsia="zh-HK"/>
        </w:rPr>
        <w:t>雙語</w:t>
      </w:r>
      <w:proofErr w:type="gramEnd"/>
      <w:r w:rsidRPr="008D0953">
        <w:rPr>
          <w:rFonts w:hint="eastAsia"/>
          <w:b/>
          <w:sz w:val="32"/>
          <w:szCs w:val="32"/>
          <w:lang w:eastAsia="zh-HK"/>
        </w:rPr>
        <w:t>教學</w:t>
      </w:r>
      <w:r w:rsidRPr="008D0953">
        <w:rPr>
          <w:rFonts w:hint="eastAsia"/>
          <w:b/>
          <w:sz w:val="32"/>
          <w:szCs w:val="32"/>
        </w:rPr>
        <w:t>次專長課程</w:t>
      </w:r>
      <w:r w:rsidRPr="008D0953">
        <w:rPr>
          <w:rFonts w:hint="eastAsia"/>
          <w:sz w:val="32"/>
          <w:szCs w:val="32"/>
        </w:rPr>
        <w:t>申請表</w:t>
      </w:r>
    </w:p>
    <w:p w:rsidR="00C65338" w:rsidRPr="00C65338" w:rsidRDefault="0013549A" w:rsidP="00663DBA">
      <w:pPr>
        <w:pStyle w:val="a3"/>
        <w:tabs>
          <w:tab w:val="left" w:pos="7356"/>
          <w:tab w:val="left" w:pos="8793"/>
          <w:tab w:val="left" w:pos="9513"/>
        </w:tabs>
        <w:wordWrap w:val="0"/>
        <w:spacing w:before="100" w:after="0"/>
        <w:ind w:left="0" w:right="238"/>
        <w:jc w:val="right"/>
        <w:rPr>
          <w:spacing w:val="-10"/>
        </w:rPr>
      </w:pPr>
      <w:r>
        <w:t>申請日期</w:t>
      </w:r>
      <w:r>
        <w:rPr>
          <w:spacing w:val="-10"/>
        </w:rPr>
        <w:t>：</w:t>
      </w:r>
      <w:r w:rsidR="00C65338">
        <w:rPr>
          <w:rFonts w:hint="eastAsia"/>
          <w:spacing w:val="-10"/>
        </w:rPr>
        <w:t xml:space="preserve"> </w:t>
      </w:r>
      <w:r w:rsidR="00C65338">
        <w:rPr>
          <w:spacing w:val="-10"/>
        </w:rPr>
        <w:t xml:space="preserve">   </w:t>
      </w:r>
      <w:r>
        <w:rPr>
          <w:spacing w:val="-10"/>
        </w:rPr>
        <w:t>年</w:t>
      </w:r>
      <w:r w:rsidR="00C65338">
        <w:rPr>
          <w:rFonts w:hint="eastAsia"/>
          <w:spacing w:val="-10"/>
        </w:rPr>
        <w:t xml:space="preserve"> </w:t>
      </w:r>
      <w:r w:rsidR="00C65338">
        <w:rPr>
          <w:spacing w:val="-10"/>
        </w:rPr>
        <w:t xml:space="preserve">   </w:t>
      </w:r>
      <w:r w:rsidR="00C65338">
        <w:rPr>
          <w:rFonts w:hint="eastAsia"/>
          <w:spacing w:val="-10"/>
        </w:rPr>
        <w:t xml:space="preserve"> </w:t>
      </w:r>
      <w:r>
        <w:rPr>
          <w:spacing w:val="-10"/>
        </w:rPr>
        <w:t>月</w:t>
      </w:r>
      <w:r w:rsidR="00C65338">
        <w:rPr>
          <w:rFonts w:hint="eastAsia"/>
          <w:spacing w:val="-10"/>
        </w:rPr>
        <w:t xml:space="preserve"> </w:t>
      </w:r>
      <w:r w:rsidR="00C65338">
        <w:rPr>
          <w:spacing w:val="-10"/>
        </w:rPr>
        <w:t xml:space="preserve">  </w:t>
      </w:r>
      <w:r w:rsidR="00C65338">
        <w:rPr>
          <w:rFonts w:hint="eastAsia"/>
          <w:spacing w:val="-10"/>
        </w:rPr>
        <w:t xml:space="preserve"> </w:t>
      </w:r>
      <w:r>
        <w:rPr>
          <w:spacing w:val="-10"/>
        </w:rPr>
        <w:t>日</w:t>
      </w:r>
    </w:p>
    <w:tbl>
      <w:tblPr>
        <w:tblStyle w:val="TableNormal"/>
        <w:tblW w:w="1011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3402"/>
        <w:gridCol w:w="1560"/>
        <w:gridCol w:w="3572"/>
      </w:tblGrid>
      <w:tr w:rsidR="00563EC4" w:rsidTr="007C0EA6">
        <w:trPr>
          <w:trHeight w:val="639"/>
        </w:trPr>
        <w:tc>
          <w:tcPr>
            <w:tcW w:w="1584" w:type="dxa"/>
            <w:vAlign w:val="center"/>
          </w:tcPr>
          <w:p w:rsidR="00563EC4" w:rsidRDefault="0013549A" w:rsidP="004E70BA">
            <w:pPr>
              <w:pStyle w:val="TableParagraph"/>
              <w:ind w:left="159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3402" w:type="dxa"/>
            <w:vAlign w:val="center"/>
          </w:tcPr>
          <w:p w:rsidR="00563EC4" w:rsidRDefault="00563E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63EC4" w:rsidRPr="007C0EA6" w:rsidRDefault="004E70BA" w:rsidP="007C0EA6">
            <w:pPr>
              <w:jc w:val="center"/>
              <w:rPr>
                <w:sz w:val="24"/>
                <w:szCs w:val="24"/>
              </w:rPr>
            </w:pPr>
            <w:r w:rsidRPr="007C0EA6">
              <w:rPr>
                <w:rFonts w:hint="eastAsia"/>
                <w:sz w:val="24"/>
                <w:szCs w:val="24"/>
              </w:rPr>
              <w:t>學號</w:t>
            </w:r>
          </w:p>
        </w:tc>
        <w:tc>
          <w:tcPr>
            <w:tcW w:w="3572" w:type="dxa"/>
          </w:tcPr>
          <w:p w:rsidR="00563EC4" w:rsidRDefault="00563E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2283" w:rsidTr="00F82993">
        <w:trPr>
          <w:trHeight w:val="549"/>
        </w:trPr>
        <w:tc>
          <w:tcPr>
            <w:tcW w:w="1584" w:type="dxa"/>
            <w:vAlign w:val="center"/>
          </w:tcPr>
          <w:p w:rsidR="00502283" w:rsidRPr="005C28E0" w:rsidRDefault="00502283" w:rsidP="005C28E0">
            <w:pPr>
              <w:pStyle w:val="TableParagraph"/>
              <w:spacing w:before="26"/>
              <w:ind w:left="159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系</w:t>
            </w:r>
            <w:r>
              <w:rPr>
                <w:rFonts w:hint="eastAsia"/>
                <w:spacing w:val="-4"/>
                <w:sz w:val="24"/>
                <w:lang w:eastAsia="zh-HK"/>
              </w:rPr>
              <w:t>所</w:t>
            </w:r>
            <w:r>
              <w:rPr>
                <w:rFonts w:hint="eastAsia"/>
                <w:spacing w:val="-4"/>
                <w:sz w:val="24"/>
              </w:rPr>
              <w:t>/</w:t>
            </w:r>
            <w:r>
              <w:rPr>
                <w:rFonts w:hint="eastAsia"/>
                <w:spacing w:val="-4"/>
                <w:sz w:val="24"/>
                <w:lang w:eastAsia="zh-HK"/>
              </w:rPr>
              <w:t>年級</w:t>
            </w:r>
          </w:p>
        </w:tc>
        <w:tc>
          <w:tcPr>
            <w:tcW w:w="3402" w:type="dxa"/>
            <w:vAlign w:val="center"/>
          </w:tcPr>
          <w:p w:rsidR="00502283" w:rsidRDefault="00502283" w:rsidP="005C28E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02283" w:rsidRDefault="00502283" w:rsidP="00502283">
            <w:pPr>
              <w:pStyle w:val="TableParagraph"/>
              <w:ind w:right="-144"/>
              <w:jc w:val="center"/>
              <w:rPr>
                <w:spacing w:val="-5"/>
                <w:sz w:val="24"/>
                <w:lang w:eastAsia="zh-HK"/>
              </w:rPr>
            </w:pPr>
            <w:r>
              <w:rPr>
                <w:rFonts w:hint="eastAsia"/>
                <w:spacing w:val="-5"/>
                <w:sz w:val="24"/>
                <w:lang w:eastAsia="zh-HK"/>
              </w:rPr>
              <w:t>修習任教</w:t>
            </w:r>
          </w:p>
          <w:p w:rsidR="00502283" w:rsidRDefault="00502283" w:rsidP="00502283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pacing w:val="-5"/>
                <w:sz w:val="24"/>
                <w:lang w:eastAsia="zh-HK"/>
              </w:rPr>
              <w:t>科別</w:t>
            </w:r>
          </w:p>
        </w:tc>
        <w:tc>
          <w:tcPr>
            <w:tcW w:w="3572" w:type="dxa"/>
            <w:vAlign w:val="center"/>
          </w:tcPr>
          <w:p w:rsidR="00502283" w:rsidRDefault="00502283" w:rsidP="00C6533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65338" w:rsidTr="007C0EA6">
        <w:trPr>
          <w:trHeight w:val="629"/>
        </w:trPr>
        <w:tc>
          <w:tcPr>
            <w:tcW w:w="1584" w:type="dxa"/>
            <w:vAlign w:val="center"/>
          </w:tcPr>
          <w:p w:rsidR="00C65338" w:rsidRPr="007C0EA6" w:rsidRDefault="00C65338" w:rsidP="007C0EA6">
            <w:pPr>
              <w:jc w:val="center"/>
              <w:rPr>
                <w:sz w:val="24"/>
                <w:szCs w:val="24"/>
              </w:rPr>
            </w:pPr>
            <w:r w:rsidRPr="007C0EA6">
              <w:rPr>
                <w:sz w:val="24"/>
                <w:szCs w:val="24"/>
              </w:rPr>
              <w:t>電話</w:t>
            </w:r>
          </w:p>
        </w:tc>
        <w:tc>
          <w:tcPr>
            <w:tcW w:w="3402" w:type="dxa"/>
          </w:tcPr>
          <w:p w:rsidR="00C65338" w:rsidRDefault="00C65338" w:rsidP="00C65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65338" w:rsidRPr="007C0EA6" w:rsidRDefault="00C65338" w:rsidP="007C0EA6">
            <w:pPr>
              <w:jc w:val="center"/>
              <w:rPr>
                <w:sz w:val="24"/>
                <w:szCs w:val="24"/>
              </w:rPr>
            </w:pPr>
            <w:r w:rsidRPr="007C0EA6">
              <w:rPr>
                <w:sz w:val="24"/>
                <w:szCs w:val="24"/>
              </w:rPr>
              <w:t>信箱</w:t>
            </w:r>
          </w:p>
        </w:tc>
        <w:tc>
          <w:tcPr>
            <w:tcW w:w="3572" w:type="dxa"/>
          </w:tcPr>
          <w:p w:rsidR="00C65338" w:rsidRDefault="00C65338" w:rsidP="00C6533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36EB" w:rsidTr="00A736EB">
        <w:trPr>
          <w:trHeight w:val="1254"/>
        </w:trPr>
        <w:tc>
          <w:tcPr>
            <w:tcW w:w="1584" w:type="dxa"/>
          </w:tcPr>
          <w:p w:rsidR="00A736EB" w:rsidRDefault="00A736EB" w:rsidP="00C65338">
            <w:pPr>
              <w:pStyle w:val="TableParagraph"/>
              <w:spacing w:before="201"/>
              <w:ind w:left="159" w:right="145"/>
              <w:jc w:val="center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 xml:space="preserve">英語能力檢定合格證明 </w:t>
            </w: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position w:val="1"/>
                <w:sz w:val="24"/>
              </w:rPr>
              <w:t>擇</w:t>
            </w:r>
            <w:proofErr w:type="gramStart"/>
            <w:r>
              <w:rPr>
                <w:spacing w:val="-2"/>
                <w:position w:val="1"/>
                <w:sz w:val="24"/>
              </w:rPr>
              <w:t>一</w:t>
            </w:r>
            <w:proofErr w:type="gramEnd"/>
            <w:r>
              <w:rPr>
                <w:spacing w:val="-2"/>
                <w:position w:val="1"/>
                <w:sz w:val="24"/>
              </w:rPr>
              <w:t>繳交</w:t>
            </w:r>
            <w:r>
              <w:rPr>
                <w:rFonts w:ascii="Times New Roman" w:eastAsia="Times New Roman"/>
                <w:spacing w:val="-2"/>
                <w:sz w:val="24"/>
              </w:rPr>
              <w:t>)</w:t>
            </w:r>
          </w:p>
        </w:tc>
        <w:tc>
          <w:tcPr>
            <w:tcW w:w="8534" w:type="dxa"/>
            <w:gridSpan w:val="3"/>
          </w:tcPr>
          <w:p w:rsidR="00A736EB" w:rsidRPr="00C03DC5" w:rsidRDefault="00C03DC5" w:rsidP="00C03DC5">
            <w:pPr>
              <w:pStyle w:val="TableParagraph"/>
              <w:tabs>
                <w:tab w:val="left" w:pos="590"/>
              </w:tabs>
              <w:spacing w:afterLines="50" w:after="120" w:line="300" w:lineRule="exact"/>
              <w:ind w:firstLineChars="57" w:firstLine="137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A736EB">
              <w:rPr>
                <w:sz w:val="24"/>
              </w:rPr>
              <w:t>具備全民英檢中級初試</w:t>
            </w:r>
            <w:r w:rsidR="00A736EB">
              <w:rPr>
                <w:rFonts w:ascii="Times New Roman" w:eastAsia="Times New Roman" w:hAnsi="Times New Roman"/>
                <w:sz w:val="24"/>
              </w:rPr>
              <w:t>(</w:t>
            </w:r>
            <w:r w:rsidR="00A736EB">
              <w:rPr>
                <w:sz w:val="24"/>
              </w:rPr>
              <w:t>聽、讀</w:t>
            </w:r>
            <w:r w:rsidR="00A736EB">
              <w:rPr>
                <w:rFonts w:ascii="Times New Roman" w:eastAsia="Times New Roman" w:hAnsi="Times New Roman"/>
                <w:sz w:val="24"/>
              </w:rPr>
              <w:t>)</w:t>
            </w:r>
            <w:r w:rsidR="00A736EB">
              <w:rPr>
                <w:spacing w:val="-2"/>
                <w:sz w:val="24"/>
              </w:rPr>
              <w:t>通過之英語能力。</w:t>
            </w:r>
          </w:p>
          <w:p w:rsidR="00A736EB" w:rsidRPr="00A736EB" w:rsidRDefault="00A736EB" w:rsidP="00C03DC5">
            <w:pPr>
              <w:pStyle w:val="TableParagraph"/>
              <w:ind w:leftChars="64" w:left="422" w:hangingChars="118" w:hanging="281"/>
              <w:jc w:val="both"/>
              <w:rPr>
                <w:rFonts w:ascii="Times New Roman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具備符合相當於歐洲語言學習、教學、評量共同參考架構</w:t>
            </w:r>
            <w:proofErr w:type="gramStart"/>
            <w:r>
              <w:rPr>
                <w:spacing w:val="-2"/>
                <w:sz w:val="24"/>
              </w:rPr>
              <w:t>（</w:t>
            </w:r>
            <w:proofErr w:type="gramEnd"/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Common </w:t>
            </w:r>
            <w:r>
              <w:rPr>
                <w:rFonts w:ascii="Times New Roman" w:eastAsia="Times New Roman" w:hAnsi="Times New Roman"/>
                <w:sz w:val="24"/>
              </w:rPr>
              <w:t>European Framework of Reference for Languages: Learning, teaching, assessment</w:t>
            </w:r>
            <w:r>
              <w:rPr>
                <w:sz w:val="24"/>
              </w:rPr>
              <w:t xml:space="preserve">，簡稱 </w:t>
            </w:r>
            <w:r>
              <w:rPr>
                <w:rFonts w:ascii="Times New Roman" w:eastAsia="Times New Roman" w:hAnsi="Times New Roman"/>
                <w:sz w:val="24"/>
              </w:rPr>
              <w:t>CEFR</w:t>
            </w:r>
            <w:proofErr w:type="gramStart"/>
            <w:r>
              <w:rPr>
                <w:sz w:val="24"/>
              </w:rPr>
              <w:t>）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B1 </w:t>
            </w:r>
            <w:r>
              <w:rPr>
                <w:sz w:val="24"/>
              </w:rPr>
              <w:t>級</w:t>
            </w:r>
            <w:r>
              <w:rPr>
                <w:rFonts w:ascii="Times New Roman" w:eastAsia="Times New Roman" w:hAnsi="Times New Roman"/>
                <w:sz w:val="24"/>
              </w:rPr>
              <w:t>(</w:t>
            </w:r>
            <w:r>
              <w:rPr>
                <w:sz w:val="24"/>
              </w:rPr>
              <w:t>或以上</w:t>
            </w:r>
            <w:r>
              <w:rPr>
                <w:rFonts w:ascii="Times New Roman" w:eastAsia="Times New Roman" w:hAnsi="Times New Roman"/>
                <w:sz w:val="24"/>
              </w:rPr>
              <w:t>)</w:t>
            </w:r>
            <w:r>
              <w:rPr>
                <w:sz w:val="24"/>
              </w:rPr>
              <w:t>相同等級的英語能力。</w:t>
            </w:r>
          </w:p>
        </w:tc>
      </w:tr>
      <w:tr w:rsidR="00C65338" w:rsidTr="00C03DC5">
        <w:trPr>
          <w:trHeight w:val="838"/>
        </w:trPr>
        <w:tc>
          <w:tcPr>
            <w:tcW w:w="10118" w:type="dxa"/>
            <w:gridSpan w:val="4"/>
          </w:tcPr>
          <w:p w:rsidR="00C65338" w:rsidRPr="00B87ED1" w:rsidRDefault="00C65338" w:rsidP="007C0EA6">
            <w:pPr>
              <w:pStyle w:val="TableParagraph"/>
              <w:ind w:left="108"/>
              <w:rPr>
                <w:b/>
                <w:sz w:val="24"/>
              </w:rPr>
            </w:pPr>
            <w:r w:rsidRPr="00B87ED1">
              <w:rPr>
                <w:b/>
                <w:spacing w:val="-4"/>
                <w:sz w:val="24"/>
              </w:rPr>
              <w:t>備註</w:t>
            </w:r>
            <w:r w:rsidR="00B87ED1">
              <w:rPr>
                <w:rFonts w:hint="eastAsia"/>
                <w:b/>
                <w:spacing w:val="-4"/>
                <w:sz w:val="24"/>
                <w:lang w:eastAsia="zh-HK"/>
              </w:rPr>
              <w:t>事項</w:t>
            </w:r>
            <w:r w:rsidRPr="00B87ED1">
              <w:rPr>
                <w:b/>
                <w:spacing w:val="-4"/>
                <w:sz w:val="24"/>
              </w:rPr>
              <w:t>：</w:t>
            </w:r>
          </w:p>
          <w:p w:rsidR="00C65338" w:rsidRDefault="00C65338" w:rsidP="007C0EA6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line="223" w:lineRule="auto"/>
              <w:ind w:right="141"/>
              <w:jc w:val="both"/>
              <w:rPr>
                <w:sz w:val="24"/>
                <w:szCs w:val="24"/>
              </w:rPr>
            </w:pPr>
            <w:r w:rsidRPr="00FA7920">
              <w:rPr>
                <w:spacing w:val="-2"/>
                <w:sz w:val="24"/>
                <w:szCs w:val="24"/>
              </w:rPr>
              <w:t>依教育部次專長課程修習原則規定，</w:t>
            </w:r>
            <w:proofErr w:type="gramStart"/>
            <w:r w:rsidRPr="00FA7920">
              <w:rPr>
                <w:spacing w:val="-2"/>
                <w:sz w:val="24"/>
                <w:szCs w:val="24"/>
              </w:rPr>
              <w:t>修習次專長</w:t>
            </w:r>
            <w:proofErr w:type="gramEnd"/>
            <w:r w:rsidRPr="00FA7920">
              <w:rPr>
                <w:spacing w:val="-2"/>
                <w:sz w:val="24"/>
                <w:szCs w:val="24"/>
              </w:rPr>
              <w:t>課程前，應向學校申請修讀並依學校修課規範條件修讀課程，</w:t>
            </w:r>
            <w:proofErr w:type="gramStart"/>
            <w:r w:rsidR="00FA7920" w:rsidRPr="00FA7920">
              <w:rPr>
                <w:sz w:val="24"/>
                <w:szCs w:val="24"/>
              </w:rPr>
              <w:t>欲</w:t>
            </w:r>
            <w:r w:rsidR="00FA7920" w:rsidRPr="00FA7920">
              <w:rPr>
                <w:rFonts w:hint="eastAsia"/>
                <w:sz w:val="24"/>
                <w:szCs w:val="24"/>
                <w:lang w:eastAsia="zh-HK"/>
              </w:rPr>
              <w:t>修習</w:t>
            </w:r>
            <w:proofErr w:type="gramEnd"/>
            <w:r w:rsidR="00FA7920" w:rsidRPr="00FA7920">
              <w:rPr>
                <w:rFonts w:hint="eastAsia"/>
                <w:sz w:val="24"/>
                <w:szCs w:val="24"/>
                <w:lang w:eastAsia="zh-HK"/>
              </w:rPr>
              <w:t>本計畫課程之</w:t>
            </w:r>
            <w:r w:rsidR="00FA7920" w:rsidRPr="00FA7920">
              <w:rPr>
                <w:sz w:val="24"/>
                <w:szCs w:val="24"/>
              </w:rPr>
              <w:t>師</w:t>
            </w:r>
            <w:r w:rsidR="004274A7">
              <w:rPr>
                <w:rFonts w:hint="eastAsia"/>
                <w:sz w:val="24"/>
                <w:szCs w:val="24"/>
              </w:rPr>
              <w:t>資</w:t>
            </w:r>
            <w:r w:rsidR="00FA7920" w:rsidRPr="00FA7920">
              <w:rPr>
                <w:rFonts w:hint="eastAsia"/>
                <w:sz w:val="24"/>
                <w:szCs w:val="24"/>
                <w:lang w:eastAsia="zh-HK"/>
              </w:rPr>
              <w:t>生必須於本</w:t>
            </w:r>
            <w:r w:rsidR="004274A7">
              <w:rPr>
                <w:rFonts w:hint="eastAsia"/>
                <w:sz w:val="24"/>
                <w:szCs w:val="24"/>
                <w:lang w:eastAsia="zh-HK"/>
              </w:rPr>
              <w:t>系</w:t>
            </w:r>
            <w:r w:rsidR="00FA7920" w:rsidRPr="00FA7920">
              <w:rPr>
                <w:rFonts w:hint="eastAsia"/>
                <w:sz w:val="24"/>
                <w:szCs w:val="24"/>
                <w:lang w:eastAsia="zh-HK"/>
              </w:rPr>
              <w:t>公告受理</w:t>
            </w:r>
            <w:r w:rsidR="004274A7">
              <w:rPr>
                <w:rFonts w:hint="eastAsia"/>
                <w:sz w:val="24"/>
                <w:szCs w:val="24"/>
                <w:lang w:eastAsia="zh-HK"/>
              </w:rPr>
              <w:t>期</w:t>
            </w:r>
            <w:r w:rsidR="00FA7920" w:rsidRPr="00FA7920">
              <w:rPr>
                <w:rFonts w:hint="eastAsia"/>
                <w:sz w:val="24"/>
                <w:szCs w:val="24"/>
                <w:lang w:eastAsia="zh-HK"/>
              </w:rPr>
              <w:t>間提出</w:t>
            </w:r>
            <w:r w:rsidR="00FA7920" w:rsidRPr="00FA7920">
              <w:rPr>
                <w:sz w:val="24"/>
                <w:szCs w:val="24"/>
              </w:rPr>
              <w:t>申請</w:t>
            </w:r>
            <w:r w:rsidR="00FA7920" w:rsidRPr="00FA7920">
              <w:rPr>
                <w:spacing w:val="-2"/>
                <w:sz w:val="24"/>
                <w:szCs w:val="24"/>
              </w:rPr>
              <w:t>，</w:t>
            </w:r>
            <w:r w:rsidRPr="00FA7920">
              <w:rPr>
                <w:spacing w:val="-2"/>
                <w:sz w:val="24"/>
                <w:szCs w:val="24"/>
              </w:rPr>
              <w:t>繳交申請表並檢附英語能力檢定合格證明影本(請寫上與正本相符並簽名)</w:t>
            </w:r>
            <w:r w:rsidR="00FA7920" w:rsidRPr="00FA7920">
              <w:rPr>
                <w:rFonts w:hint="eastAsia"/>
                <w:spacing w:val="-2"/>
                <w:sz w:val="24"/>
                <w:szCs w:val="24"/>
              </w:rPr>
              <w:t>，</w:t>
            </w:r>
            <w:r w:rsidR="00FA7920" w:rsidRPr="00FA7920">
              <w:rPr>
                <w:rFonts w:hint="eastAsia"/>
                <w:sz w:val="24"/>
                <w:szCs w:val="24"/>
                <w:lang w:eastAsia="zh-HK"/>
              </w:rPr>
              <w:t>申請通過後依本課程科目及學分一覽表規定修課</w:t>
            </w:r>
            <w:r w:rsidR="00FA7920" w:rsidRPr="00FA7920">
              <w:rPr>
                <w:sz w:val="24"/>
                <w:szCs w:val="24"/>
              </w:rPr>
              <w:t>。</w:t>
            </w:r>
          </w:p>
          <w:p w:rsidR="00FA7920" w:rsidRDefault="00FA7920" w:rsidP="007C0EA6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line="223" w:lineRule="auto"/>
              <w:ind w:left="357" w:right="142" w:hanging="249"/>
              <w:jc w:val="both"/>
              <w:rPr>
                <w:sz w:val="24"/>
                <w:szCs w:val="24"/>
              </w:rPr>
            </w:pPr>
            <w:r w:rsidRPr="00FA7920">
              <w:rPr>
                <w:rFonts w:hint="eastAsia"/>
                <w:sz w:val="24"/>
                <w:szCs w:val="24"/>
              </w:rPr>
              <w:t>本課程表適用</w:t>
            </w:r>
            <w:r w:rsidRPr="004274A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Pr="00FA7920">
              <w:rPr>
                <w:rFonts w:hint="eastAsia"/>
                <w:sz w:val="24"/>
                <w:szCs w:val="24"/>
              </w:rPr>
              <w:t>學年度起取得師資生資格者（包括</w:t>
            </w:r>
            <w:r w:rsidRPr="00FA7920">
              <w:rPr>
                <w:rFonts w:hint="eastAsia"/>
                <w:sz w:val="24"/>
                <w:szCs w:val="24"/>
                <w:lang w:eastAsia="zh-HK"/>
              </w:rPr>
              <w:t>師資培育中心及教育</w:t>
            </w:r>
            <w:r w:rsidRPr="00FA7920">
              <w:rPr>
                <w:rFonts w:hint="eastAsia"/>
                <w:sz w:val="24"/>
                <w:szCs w:val="24"/>
              </w:rPr>
              <w:t>學系之師資生</w:t>
            </w:r>
            <w:r w:rsidRPr="00FA7920">
              <w:rPr>
                <w:sz w:val="24"/>
                <w:szCs w:val="24"/>
              </w:rPr>
              <w:t>）</w:t>
            </w:r>
            <w:r w:rsidRPr="00FA7920">
              <w:rPr>
                <w:rFonts w:hint="eastAsia"/>
                <w:sz w:val="24"/>
                <w:szCs w:val="24"/>
              </w:rPr>
              <w:t>，</w:t>
            </w:r>
            <w:r w:rsidRPr="004274A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Pr="00FA7920">
              <w:rPr>
                <w:rFonts w:hint="eastAsia"/>
                <w:sz w:val="24"/>
                <w:szCs w:val="24"/>
                <w:lang w:eastAsia="zh-HK"/>
              </w:rPr>
              <w:t>學年度以前之師資生得適用之</w:t>
            </w:r>
            <w:r w:rsidRPr="00FA7920">
              <w:rPr>
                <w:rFonts w:hint="eastAsia"/>
                <w:sz w:val="24"/>
                <w:szCs w:val="24"/>
              </w:rPr>
              <w:t>。</w:t>
            </w:r>
          </w:p>
          <w:p w:rsidR="00FA7920" w:rsidRPr="00FA7920" w:rsidRDefault="00FA7920" w:rsidP="007C0EA6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line="223" w:lineRule="auto"/>
              <w:ind w:left="357" w:right="142" w:hanging="249"/>
              <w:jc w:val="both"/>
              <w:rPr>
                <w:sz w:val="24"/>
                <w:szCs w:val="24"/>
              </w:rPr>
            </w:pPr>
            <w:r w:rsidRPr="00FA7920">
              <w:rPr>
                <w:rFonts w:hint="eastAsia"/>
                <w:b/>
                <w:color w:val="FF0000"/>
                <w:sz w:val="24"/>
                <w:szCs w:val="24"/>
                <w:shd w:val="clear" w:color="auto" w:fill="FFFFFF"/>
                <w:lang w:eastAsia="zh-HK"/>
              </w:rPr>
              <w:t>修習任教科別應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shd w:val="clear" w:color="auto" w:fill="FFFFFF"/>
              </w:rPr>
              <w:t>符合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shd w:val="clear" w:color="auto" w:fill="FFFFFF"/>
                <w:lang w:eastAsia="zh-HK"/>
              </w:rPr>
              <w:t>本表所列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shd w:val="clear" w:color="auto" w:fill="FFFFFF"/>
              </w:rPr>
              <w:t>本校培育雙語之中等學校師資類科各領域專長。</w:t>
            </w:r>
          </w:p>
          <w:p w:rsidR="00C65338" w:rsidRPr="00FA7920" w:rsidRDefault="00C65338" w:rsidP="007C0EA6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line="223" w:lineRule="auto"/>
              <w:ind w:left="357" w:right="142" w:hanging="2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依教育部次專長課程修習原則規定，次專長課程版本以修讀時版本為認定。申請辦理加</w:t>
            </w:r>
            <w:proofErr w:type="gramStart"/>
            <w:r>
              <w:rPr>
                <w:spacing w:val="-2"/>
                <w:sz w:val="24"/>
              </w:rPr>
              <w:t>註</w:t>
            </w:r>
            <w:proofErr w:type="gramEnd"/>
            <w:r>
              <w:rPr>
                <w:spacing w:val="-2"/>
                <w:sz w:val="24"/>
              </w:rPr>
              <w:t>次專長課程採認及抵免，以申請日向前推算至多十年內所修習之科目及學分為限。</w:t>
            </w:r>
          </w:p>
          <w:p w:rsidR="00FA7920" w:rsidRDefault="00FA7920" w:rsidP="007C0EA6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line="223" w:lineRule="auto"/>
              <w:ind w:left="357" w:right="142" w:hanging="249"/>
              <w:jc w:val="both"/>
              <w:rPr>
                <w:sz w:val="24"/>
                <w:szCs w:val="24"/>
              </w:rPr>
            </w:pPr>
            <w:proofErr w:type="gramStart"/>
            <w:r w:rsidRPr="00FA7920">
              <w:rPr>
                <w:rFonts w:hint="eastAsia"/>
                <w:sz w:val="24"/>
                <w:szCs w:val="24"/>
              </w:rPr>
              <w:t>修習雙語</w:t>
            </w:r>
            <w:proofErr w:type="gramEnd"/>
            <w:r w:rsidRPr="00FA7920">
              <w:rPr>
                <w:rFonts w:hint="eastAsia"/>
                <w:sz w:val="24"/>
                <w:szCs w:val="24"/>
              </w:rPr>
              <w:t>教學師資培育課程之師資生，須具備全民英檢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</w:rPr>
              <w:t>中級</w:t>
            </w:r>
            <w:r w:rsidRPr="00FA7920">
              <w:rPr>
                <w:rFonts w:hint="eastAsia"/>
                <w:sz w:val="24"/>
                <w:szCs w:val="24"/>
              </w:rPr>
              <w:t>初試(聽、讀)通過之英語能力，或具備歐洲語言學習、教學、評量共同參考架構（</w:t>
            </w:r>
            <w:r w:rsidRPr="004274A7">
              <w:rPr>
                <w:rFonts w:ascii="Times New Roman" w:hAnsi="Times New Roman" w:cs="Times New Roman"/>
                <w:sz w:val="24"/>
                <w:szCs w:val="24"/>
              </w:rPr>
              <w:t>Common European Framework of Reference for Languages: Learning, teaching, assessment</w:t>
            </w:r>
            <w:r w:rsidRPr="00FA7920">
              <w:rPr>
                <w:rFonts w:hint="eastAsia"/>
                <w:sz w:val="24"/>
                <w:szCs w:val="24"/>
              </w:rPr>
              <w:t xml:space="preserve">，簡稱 </w:t>
            </w:r>
            <w:r w:rsidRPr="004274A7">
              <w:rPr>
                <w:rFonts w:ascii="Times New Roman" w:hAnsi="Times New Roman" w:cs="Times New Roman"/>
                <w:sz w:val="24"/>
                <w:szCs w:val="24"/>
              </w:rPr>
              <w:t>CEFR</w:t>
            </w:r>
            <w:proofErr w:type="gramStart"/>
            <w:r w:rsidRPr="00FA7920">
              <w:rPr>
                <w:rFonts w:hint="eastAsia"/>
                <w:sz w:val="24"/>
                <w:szCs w:val="24"/>
              </w:rPr>
              <w:t>）</w:t>
            </w:r>
            <w:proofErr w:type="gramEnd"/>
            <w:r w:rsidRPr="004274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B1</w:t>
            </w:r>
            <w:r w:rsidRPr="00FA7920">
              <w:rPr>
                <w:rFonts w:hint="eastAsia"/>
                <w:b/>
                <w:sz w:val="24"/>
                <w:szCs w:val="24"/>
              </w:rPr>
              <w:t>級</w:t>
            </w:r>
            <w:r w:rsidRPr="00FA7920">
              <w:rPr>
                <w:rFonts w:hint="eastAsia"/>
                <w:sz w:val="24"/>
                <w:szCs w:val="24"/>
              </w:rPr>
              <w:t>(或以上)之相同等級英語能力。</w:t>
            </w:r>
          </w:p>
          <w:p w:rsidR="00FA7920" w:rsidRPr="00FA7920" w:rsidRDefault="00FA7920" w:rsidP="007C0EA6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line="223" w:lineRule="auto"/>
              <w:ind w:left="357" w:right="142" w:hanging="249"/>
              <w:jc w:val="both"/>
              <w:rPr>
                <w:sz w:val="24"/>
                <w:szCs w:val="24"/>
              </w:rPr>
            </w:pPr>
            <w:proofErr w:type="gramStart"/>
            <w:r w:rsidRPr="00FA7920">
              <w:rPr>
                <w:rFonts w:hint="eastAsia"/>
                <w:sz w:val="24"/>
                <w:szCs w:val="24"/>
              </w:rPr>
              <w:t>修畢</w:t>
            </w:r>
            <w:r w:rsidRPr="00FA7920">
              <w:rPr>
                <w:rFonts w:hint="eastAsia"/>
                <w:sz w:val="24"/>
                <w:szCs w:val="24"/>
                <w:lang w:eastAsia="zh-HK"/>
              </w:rPr>
              <w:t>雙</w:t>
            </w:r>
            <w:r w:rsidRPr="00FA7920">
              <w:rPr>
                <w:rFonts w:hint="eastAsia"/>
                <w:sz w:val="24"/>
                <w:szCs w:val="24"/>
              </w:rPr>
              <w:t>語</w:t>
            </w:r>
            <w:proofErr w:type="gramEnd"/>
            <w:r w:rsidRPr="00FA7920">
              <w:rPr>
                <w:rFonts w:hint="eastAsia"/>
                <w:sz w:val="24"/>
                <w:szCs w:val="24"/>
              </w:rPr>
              <w:t>教學師資培育課程，應通過全民英檢中高級(聽、說、讀、寫)或取得</w:t>
            </w:r>
            <w:r w:rsidRPr="00426BC4">
              <w:rPr>
                <w:rFonts w:ascii="Times New Roman" w:hAnsi="Times New Roman" w:cs="Times New Roman"/>
                <w:sz w:val="24"/>
                <w:szCs w:val="24"/>
              </w:rPr>
              <w:t>CEFR</w:t>
            </w:r>
            <w:r w:rsidRPr="00FA7920">
              <w:rPr>
                <w:rFonts w:hint="eastAsia"/>
                <w:sz w:val="24"/>
                <w:szCs w:val="24"/>
              </w:rPr>
              <w:t>語言參考架構</w:t>
            </w:r>
            <w:r w:rsidRPr="00426BC4">
              <w:rPr>
                <w:rFonts w:ascii="Times New Roman" w:hAnsi="Times New Roman" w:cs="Times New Roman"/>
                <w:b/>
                <w:sz w:val="24"/>
                <w:szCs w:val="24"/>
              </w:rPr>
              <w:t>B2</w:t>
            </w:r>
            <w:r w:rsidRPr="00FA7920">
              <w:rPr>
                <w:rFonts w:hint="eastAsia"/>
                <w:b/>
                <w:sz w:val="24"/>
                <w:szCs w:val="24"/>
              </w:rPr>
              <w:t>級</w:t>
            </w:r>
            <w:r w:rsidRPr="00FA7920">
              <w:rPr>
                <w:rFonts w:hint="eastAsia"/>
                <w:sz w:val="24"/>
                <w:szCs w:val="24"/>
              </w:rPr>
              <w:t>以上之英語考試檢定及格證書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lang w:eastAsia="zh-HK"/>
              </w:rPr>
              <w:t>符合本校英文專門課程認定表所列</w:t>
            </w:r>
            <w:r w:rsidRPr="00FA7920">
              <w:rPr>
                <w:b/>
                <w:color w:val="FF0000"/>
                <w:sz w:val="24"/>
                <w:szCs w:val="24"/>
              </w:rPr>
              <w:t>之各項英語檢定考試標準參照表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FA7920">
              <w:rPr>
                <w:rFonts w:hint="eastAsia"/>
                <w:sz w:val="24"/>
                <w:szCs w:val="24"/>
              </w:rPr>
              <w:t>，通過教師資格考試並完成教育實習後，核發教師證書，教師證書上將註</w:t>
            </w:r>
            <w:r w:rsidRPr="00FA7920">
              <w:rPr>
                <w:rFonts w:hint="eastAsia"/>
                <w:sz w:val="24"/>
                <w:szCs w:val="24"/>
                <w:lang w:eastAsia="zh-HK"/>
              </w:rPr>
              <w:t>記</w:t>
            </w:r>
            <w:r w:rsidRPr="00FA7920">
              <w:rPr>
                <w:rFonts w:hint="eastAsia"/>
                <w:sz w:val="24"/>
                <w:szCs w:val="24"/>
              </w:rPr>
              <w:t>「</w:t>
            </w:r>
            <w:r w:rsidRPr="00FA7920">
              <w:rPr>
                <w:rFonts w:hint="eastAsia"/>
                <w:sz w:val="24"/>
                <w:szCs w:val="24"/>
                <w:lang w:eastAsia="zh-HK"/>
              </w:rPr>
              <w:t>雙</w:t>
            </w:r>
            <w:r w:rsidRPr="00FA7920">
              <w:rPr>
                <w:rFonts w:hint="eastAsia"/>
                <w:sz w:val="24"/>
                <w:szCs w:val="24"/>
              </w:rPr>
              <w:t>語教學</w:t>
            </w:r>
            <w:r w:rsidRPr="00FA7920">
              <w:rPr>
                <w:rFonts w:hint="eastAsia"/>
                <w:sz w:val="24"/>
                <w:szCs w:val="24"/>
                <w:lang w:eastAsia="zh-HK"/>
              </w:rPr>
              <w:t>次專長</w:t>
            </w:r>
            <w:r w:rsidRPr="00FA7920">
              <w:rPr>
                <w:rFonts w:hint="eastAsia"/>
                <w:sz w:val="24"/>
                <w:szCs w:val="24"/>
              </w:rPr>
              <w:t>」。</w:t>
            </w:r>
          </w:p>
          <w:p w:rsidR="00FA7920" w:rsidRPr="00FA7920" w:rsidRDefault="00FA7920" w:rsidP="007C0EA6">
            <w:pPr>
              <w:pStyle w:val="a4"/>
              <w:numPr>
                <w:ilvl w:val="0"/>
                <w:numId w:val="1"/>
              </w:numPr>
              <w:autoSpaceDE/>
              <w:autoSpaceDN/>
              <w:spacing w:line="0" w:lineRule="atLeast"/>
              <w:ind w:left="357" w:rightChars="77" w:right="169" w:hanging="249"/>
              <w:jc w:val="both"/>
              <w:rPr>
                <w:color w:val="000000" w:themeColor="text1"/>
                <w:sz w:val="24"/>
                <w:szCs w:val="24"/>
              </w:rPr>
            </w:pPr>
            <w:r w:rsidRPr="00FA7920">
              <w:rPr>
                <w:color w:val="000000" w:themeColor="text1"/>
                <w:sz w:val="24"/>
                <w:szCs w:val="24"/>
              </w:rPr>
              <w:t>修習資格申請通過後，</w:t>
            </w:r>
            <w:r w:rsidRPr="00FA7920">
              <w:rPr>
                <w:b/>
                <w:color w:val="FF0000"/>
                <w:sz w:val="24"/>
                <w:szCs w:val="24"/>
              </w:rPr>
              <w:t>曾於本校修</w:t>
            </w:r>
            <w:proofErr w:type="gramStart"/>
            <w:r w:rsidRPr="00FA7920">
              <w:rPr>
                <w:b/>
                <w:color w:val="FF0000"/>
                <w:sz w:val="24"/>
                <w:szCs w:val="24"/>
              </w:rPr>
              <w:t>習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lang w:eastAsia="zh-HK"/>
              </w:rPr>
              <w:t>表列</w:t>
            </w:r>
            <w:r w:rsidRPr="00FA7920">
              <w:rPr>
                <w:b/>
                <w:color w:val="FF0000"/>
                <w:sz w:val="24"/>
                <w:szCs w:val="24"/>
              </w:rPr>
              <w:t>雙</w:t>
            </w:r>
            <w:proofErr w:type="gramEnd"/>
            <w:r w:rsidRPr="00FA7920">
              <w:rPr>
                <w:b/>
                <w:color w:val="FF0000"/>
                <w:sz w:val="24"/>
                <w:szCs w:val="24"/>
              </w:rPr>
              <w:t>語教學次專長課程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lang w:eastAsia="zh-HK"/>
              </w:rPr>
              <w:t>相同之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u w:val="single"/>
                <w:lang w:eastAsia="zh-HK"/>
              </w:rPr>
              <w:t>科目名稱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lang w:eastAsia="zh-HK"/>
              </w:rPr>
              <w:t>及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u w:val="single"/>
                <w:lang w:eastAsia="zh-HK"/>
              </w:rPr>
              <w:t>授課屬性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lang w:eastAsia="zh-HK"/>
              </w:rPr>
              <w:t>之科目可採計為雙語教學次專長應修學分數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</w:rPr>
              <w:t>，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lang w:eastAsia="zh-HK"/>
              </w:rPr>
              <w:t>惟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u w:val="single"/>
                <w:lang w:eastAsia="zh-HK"/>
              </w:rPr>
              <w:t>教育專業課程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lang w:eastAsia="zh-HK"/>
              </w:rPr>
              <w:t>必須修習本校</w:t>
            </w:r>
            <w:r w:rsidRPr="00845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112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u w:val="single"/>
                <w:lang w:eastAsia="zh-HK"/>
              </w:rPr>
              <w:t>學年以後(含</w:t>
            </w:r>
            <w:r w:rsidRPr="00845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HK"/>
              </w:rPr>
              <w:t>112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u w:val="single"/>
                <w:lang w:eastAsia="zh-HK"/>
              </w:rPr>
              <w:t>學年)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lang w:eastAsia="zh-HK"/>
              </w:rPr>
              <w:t>開設之表列課程始予採認</w:t>
            </w:r>
            <w:r w:rsidRPr="00FA7920">
              <w:rPr>
                <w:b/>
                <w:color w:val="FF0000"/>
                <w:sz w:val="24"/>
                <w:szCs w:val="24"/>
              </w:rPr>
              <w:t>。</w:t>
            </w:r>
          </w:p>
          <w:p w:rsidR="00FA7920" w:rsidRPr="00FA7920" w:rsidRDefault="00FA7920" w:rsidP="007C0EA6">
            <w:pPr>
              <w:pStyle w:val="a4"/>
              <w:numPr>
                <w:ilvl w:val="0"/>
                <w:numId w:val="1"/>
              </w:numPr>
              <w:autoSpaceDE/>
              <w:autoSpaceDN/>
              <w:spacing w:line="0" w:lineRule="atLeast"/>
              <w:ind w:left="357" w:rightChars="77" w:right="169" w:hanging="249"/>
              <w:jc w:val="both"/>
              <w:rPr>
                <w:color w:val="000000" w:themeColor="text1"/>
                <w:sz w:val="24"/>
                <w:szCs w:val="24"/>
              </w:rPr>
            </w:pPr>
            <w:r w:rsidRPr="00FA7920">
              <w:rPr>
                <w:color w:val="000000" w:themeColor="text1"/>
                <w:sz w:val="24"/>
                <w:szCs w:val="24"/>
              </w:rPr>
              <w:t>修習資格申請通過後，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lang w:eastAsia="zh-HK"/>
              </w:rPr>
              <w:t>曾於本校修習</w:t>
            </w:r>
            <w:r w:rsidRPr="00845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112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lang w:eastAsia="zh-HK"/>
              </w:rPr>
              <w:t>學年度以前開設之「語文領域英文教材教法」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</w:rPr>
              <w:t>、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lang w:eastAsia="zh-HK"/>
              </w:rPr>
              <w:t>「語文領域英文教學實習」之英語文專長師資生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</w:rPr>
              <w:t>，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lang w:eastAsia="zh-HK"/>
              </w:rPr>
              <w:t>應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u w:val="single"/>
                <w:lang w:eastAsia="zh-HK"/>
              </w:rPr>
              <w:t>重修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lang w:eastAsia="zh-HK"/>
              </w:rPr>
              <w:t>本校</w:t>
            </w:r>
            <w:r w:rsidRPr="00845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112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u w:val="single"/>
                <w:lang w:eastAsia="zh-HK"/>
              </w:rPr>
              <w:t>學年度以後(含</w:t>
            </w:r>
            <w:r w:rsidRPr="00845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HK"/>
              </w:rPr>
              <w:t>112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u w:val="single"/>
                <w:lang w:eastAsia="zh-HK"/>
              </w:rPr>
              <w:t>學年)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lang w:eastAsia="zh-HK"/>
              </w:rPr>
              <w:t>開設之「語文領域英文教材教法」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</w:rPr>
              <w:t>、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lang w:eastAsia="zh-HK"/>
              </w:rPr>
              <w:t>「語文領域英文教學實習」</w:t>
            </w:r>
            <w:proofErr w:type="gramStart"/>
            <w:r w:rsidRPr="00FA7920">
              <w:rPr>
                <w:rFonts w:hint="eastAsia"/>
                <w:b/>
                <w:color w:val="FF0000"/>
                <w:sz w:val="24"/>
                <w:szCs w:val="24"/>
                <w:lang w:eastAsia="zh-HK"/>
              </w:rPr>
              <w:t>或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u w:val="single"/>
                <w:lang w:eastAsia="zh-HK"/>
              </w:rPr>
              <w:t>加修</w:t>
            </w:r>
            <w:proofErr w:type="gramEnd"/>
            <w:r w:rsidRPr="00FA7920">
              <w:rPr>
                <w:rFonts w:hint="eastAsia"/>
                <w:b/>
                <w:color w:val="FF0000"/>
                <w:sz w:val="24"/>
                <w:szCs w:val="24"/>
                <w:lang w:eastAsia="zh-HK"/>
              </w:rPr>
              <w:t>「雙語教材教法」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</w:rPr>
              <w:t>、</w:t>
            </w:r>
            <w:r w:rsidRPr="00FA7920">
              <w:rPr>
                <w:rFonts w:hint="eastAsia"/>
                <w:b/>
                <w:color w:val="FF0000"/>
                <w:sz w:val="24"/>
                <w:szCs w:val="24"/>
                <w:lang w:eastAsia="zh-HK"/>
              </w:rPr>
              <w:t>「雙語教學實習」</w:t>
            </w:r>
            <w:r w:rsidRPr="00FA7920">
              <w:rPr>
                <w:rFonts w:hint="eastAsia"/>
                <w:color w:val="000000" w:themeColor="text1"/>
                <w:sz w:val="24"/>
                <w:szCs w:val="24"/>
                <w:lang w:eastAsia="zh-HK"/>
              </w:rPr>
              <w:t>後</w:t>
            </w:r>
            <w:r w:rsidRPr="00FA7920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Pr="00FA7920">
              <w:rPr>
                <w:rFonts w:hint="eastAsia"/>
                <w:color w:val="000000" w:themeColor="text1"/>
                <w:sz w:val="24"/>
                <w:szCs w:val="24"/>
                <w:lang w:eastAsia="zh-HK"/>
              </w:rPr>
              <w:t>採認為雙語教學次專長之必修學分數</w:t>
            </w:r>
            <w:r w:rsidRPr="00FA7920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:rsidR="00FA7920" w:rsidRDefault="00FA7920" w:rsidP="007C0EA6">
            <w:pPr>
              <w:pStyle w:val="a4"/>
              <w:numPr>
                <w:ilvl w:val="0"/>
                <w:numId w:val="1"/>
              </w:numPr>
              <w:autoSpaceDE/>
              <w:autoSpaceDN/>
              <w:spacing w:line="0" w:lineRule="atLeast"/>
              <w:ind w:left="357" w:rightChars="77" w:right="169" w:hanging="249"/>
              <w:jc w:val="both"/>
              <w:rPr>
                <w:sz w:val="24"/>
                <w:szCs w:val="24"/>
              </w:rPr>
            </w:pPr>
            <w:r w:rsidRPr="00FA7920">
              <w:rPr>
                <w:rFonts w:hint="eastAsia"/>
                <w:sz w:val="24"/>
                <w:szCs w:val="24"/>
              </w:rPr>
              <w:t>本計畫課程</w:t>
            </w:r>
            <w:r w:rsidRPr="00FA7920">
              <w:rPr>
                <w:rFonts w:hint="eastAsia"/>
                <w:sz w:val="24"/>
                <w:szCs w:val="24"/>
                <w:lang w:eastAsia="zh-HK"/>
              </w:rPr>
              <w:t>部份科目</w:t>
            </w:r>
            <w:r w:rsidRPr="00FA7920">
              <w:rPr>
                <w:rFonts w:hint="eastAsia"/>
                <w:sz w:val="24"/>
                <w:szCs w:val="24"/>
              </w:rPr>
              <w:t>採用全英語教學(語文領域英語文專長</w:t>
            </w:r>
            <w:r w:rsidRPr="00FA7920">
              <w:rPr>
                <w:rFonts w:hint="eastAsia"/>
                <w:sz w:val="24"/>
                <w:szCs w:val="24"/>
                <w:lang w:eastAsia="zh-HK"/>
              </w:rPr>
              <w:t>之課程為全英語授課</w:t>
            </w:r>
            <w:r w:rsidRPr="00FA7920">
              <w:rPr>
                <w:rFonts w:hint="eastAsia"/>
                <w:sz w:val="24"/>
                <w:szCs w:val="24"/>
              </w:rPr>
              <w:t>)，</w:t>
            </w:r>
            <w:r w:rsidRPr="00FA7920">
              <w:rPr>
                <w:rFonts w:hint="eastAsia"/>
                <w:sz w:val="24"/>
                <w:szCs w:val="24"/>
                <w:lang w:eastAsia="zh-HK"/>
              </w:rPr>
              <w:t>部份科目</w:t>
            </w:r>
            <w:proofErr w:type="gramStart"/>
            <w:r w:rsidRPr="00FA7920">
              <w:rPr>
                <w:rFonts w:hint="eastAsia"/>
                <w:sz w:val="24"/>
                <w:szCs w:val="24"/>
                <w:lang w:eastAsia="zh-HK"/>
              </w:rPr>
              <w:t>採</w:t>
            </w:r>
            <w:proofErr w:type="gramEnd"/>
            <w:r w:rsidRPr="00FA7920">
              <w:rPr>
                <w:rFonts w:hint="eastAsia"/>
                <w:sz w:val="24"/>
                <w:szCs w:val="24"/>
                <w:lang w:eastAsia="zh-HK"/>
              </w:rPr>
              <w:t>雙語教學</w:t>
            </w:r>
            <w:r w:rsidRPr="00FA7920">
              <w:rPr>
                <w:rFonts w:hint="eastAsia"/>
                <w:sz w:val="24"/>
                <w:szCs w:val="24"/>
              </w:rPr>
              <w:t>進</w:t>
            </w:r>
            <w:r w:rsidRPr="00FA7920">
              <w:rPr>
                <w:rFonts w:hint="eastAsia"/>
                <w:sz w:val="24"/>
                <w:szCs w:val="24"/>
                <w:lang w:eastAsia="zh-HK"/>
              </w:rPr>
              <w:t>行</w:t>
            </w:r>
            <w:r w:rsidRPr="00FA7920">
              <w:rPr>
                <w:rFonts w:hint="eastAsia"/>
                <w:sz w:val="24"/>
                <w:szCs w:val="24"/>
              </w:rPr>
              <w:t>。</w:t>
            </w:r>
          </w:p>
          <w:p w:rsidR="00FA7920" w:rsidRDefault="00FA7920" w:rsidP="007C0EA6">
            <w:pPr>
              <w:pStyle w:val="a4"/>
              <w:numPr>
                <w:ilvl w:val="0"/>
                <w:numId w:val="1"/>
              </w:numPr>
              <w:autoSpaceDE/>
              <w:autoSpaceDN/>
              <w:spacing w:line="0" w:lineRule="atLeast"/>
              <w:ind w:left="448" w:rightChars="77" w:right="169" w:hanging="425"/>
              <w:jc w:val="both"/>
              <w:rPr>
                <w:sz w:val="24"/>
                <w:szCs w:val="24"/>
              </w:rPr>
            </w:pPr>
            <w:r w:rsidRPr="00EE4632">
              <w:rPr>
                <w:sz w:val="24"/>
                <w:szCs w:val="24"/>
              </w:rPr>
              <w:t>上表所列之雙語教育課程如與原中等教育專業課程、專門課程名稱相同，可同時</w:t>
            </w:r>
            <w:proofErr w:type="gramStart"/>
            <w:r w:rsidRPr="00EE4632">
              <w:rPr>
                <w:sz w:val="24"/>
                <w:szCs w:val="24"/>
              </w:rPr>
              <w:t>採</w:t>
            </w:r>
            <w:proofErr w:type="gramEnd"/>
            <w:r w:rsidRPr="00EE4632">
              <w:rPr>
                <w:sz w:val="24"/>
                <w:szCs w:val="24"/>
              </w:rPr>
              <w:t>計為中等教育專業課程、專門課程學分</w:t>
            </w:r>
            <w:r w:rsidRPr="00EE4632">
              <w:rPr>
                <w:rFonts w:hint="eastAsia"/>
                <w:sz w:val="24"/>
                <w:szCs w:val="24"/>
              </w:rPr>
              <w:t>。</w:t>
            </w:r>
          </w:p>
          <w:p w:rsidR="00FA7920" w:rsidRPr="00B87ED1" w:rsidRDefault="00FA7920" w:rsidP="007C0EA6">
            <w:pPr>
              <w:pStyle w:val="a4"/>
              <w:numPr>
                <w:ilvl w:val="0"/>
                <w:numId w:val="1"/>
              </w:numPr>
              <w:autoSpaceDE/>
              <w:autoSpaceDN/>
              <w:spacing w:line="0" w:lineRule="atLeast"/>
              <w:ind w:left="448" w:hanging="425"/>
              <w:jc w:val="both"/>
              <w:rPr>
                <w:sz w:val="24"/>
                <w:szCs w:val="24"/>
              </w:rPr>
            </w:pPr>
            <w:r w:rsidRPr="00B87ED1">
              <w:rPr>
                <w:b/>
                <w:sz w:val="24"/>
                <w:szCs w:val="24"/>
              </w:rPr>
              <w:t>非於本校所修習之雙語教學師資培育課程，一律不予</w:t>
            </w:r>
            <w:proofErr w:type="gramStart"/>
            <w:r w:rsidRPr="00B87ED1">
              <w:rPr>
                <w:b/>
                <w:sz w:val="24"/>
                <w:szCs w:val="24"/>
              </w:rPr>
              <w:t>採</w:t>
            </w:r>
            <w:proofErr w:type="gramEnd"/>
            <w:r w:rsidRPr="00B87ED1">
              <w:rPr>
                <w:b/>
                <w:sz w:val="24"/>
                <w:szCs w:val="24"/>
              </w:rPr>
              <w:t>認。</w:t>
            </w:r>
          </w:p>
          <w:p w:rsidR="00B87ED1" w:rsidRPr="004E70BA" w:rsidRDefault="00FA7920" w:rsidP="007C0EA6">
            <w:pPr>
              <w:pStyle w:val="a4"/>
              <w:numPr>
                <w:ilvl w:val="0"/>
                <w:numId w:val="1"/>
              </w:numPr>
              <w:autoSpaceDE/>
              <w:autoSpaceDN/>
              <w:spacing w:line="0" w:lineRule="atLeast"/>
              <w:ind w:left="448" w:hanging="425"/>
              <w:jc w:val="both"/>
              <w:rPr>
                <w:sz w:val="24"/>
                <w:szCs w:val="24"/>
              </w:rPr>
            </w:pPr>
            <w:r w:rsidRPr="00B87ED1">
              <w:rPr>
                <w:sz w:val="24"/>
                <w:szCs w:val="24"/>
              </w:rPr>
              <w:t>教育實習以至實驗學校或雙語學校進行為原則。</w:t>
            </w:r>
          </w:p>
        </w:tc>
      </w:tr>
      <w:tr w:rsidR="00C65338" w:rsidTr="00C03DC5">
        <w:trPr>
          <w:trHeight w:val="482"/>
        </w:trPr>
        <w:tc>
          <w:tcPr>
            <w:tcW w:w="4986" w:type="dxa"/>
            <w:gridSpan w:val="2"/>
            <w:vAlign w:val="center"/>
          </w:tcPr>
          <w:p w:rsidR="00C65338" w:rsidRPr="007C0EA6" w:rsidRDefault="00C65338" w:rsidP="007C0EA6">
            <w:pPr>
              <w:jc w:val="center"/>
              <w:rPr>
                <w:sz w:val="24"/>
                <w:szCs w:val="24"/>
              </w:rPr>
            </w:pPr>
            <w:r w:rsidRPr="007C0EA6">
              <w:rPr>
                <w:sz w:val="24"/>
                <w:szCs w:val="24"/>
              </w:rPr>
              <w:t>申請人簽章</w:t>
            </w:r>
          </w:p>
        </w:tc>
        <w:tc>
          <w:tcPr>
            <w:tcW w:w="5132" w:type="dxa"/>
            <w:gridSpan w:val="2"/>
            <w:vAlign w:val="center"/>
          </w:tcPr>
          <w:p w:rsidR="00C65338" w:rsidRPr="007C0EA6" w:rsidRDefault="00845058" w:rsidP="007C0E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教育學系</w:t>
            </w:r>
          </w:p>
        </w:tc>
      </w:tr>
      <w:tr w:rsidR="00C65338" w:rsidTr="007C0EA6">
        <w:trPr>
          <w:trHeight w:val="1294"/>
        </w:trPr>
        <w:tc>
          <w:tcPr>
            <w:tcW w:w="4986" w:type="dxa"/>
            <w:gridSpan w:val="2"/>
          </w:tcPr>
          <w:p w:rsidR="00C65338" w:rsidRDefault="00C65338" w:rsidP="00C65338">
            <w:pPr>
              <w:pStyle w:val="TableParagraph"/>
              <w:spacing w:before="4" w:line="244" w:lineRule="auto"/>
              <w:ind w:left="110" w:right="34"/>
              <w:rPr>
                <w:sz w:val="24"/>
              </w:rPr>
            </w:pPr>
            <w:r>
              <w:rPr>
                <w:color w:val="BEBEBE"/>
                <w:spacing w:val="-2"/>
                <w:sz w:val="24"/>
              </w:rPr>
              <w:t>請詳閱備註後簽名，相關修課規劃請參閱</w:t>
            </w:r>
            <w:r w:rsidR="00845058">
              <w:rPr>
                <w:rFonts w:hint="eastAsia"/>
                <w:color w:val="BEBEBE"/>
                <w:spacing w:val="-2"/>
                <w:sz w:val="24"/>
              </w:rPr>
              <w:t>本系</w:t>
            </w:r>
            <w:r>
              <w:rPr>
                <w:color w:val="BEBEBE"/>
                <w:spacing w:val="-2"/>
                <w:position w:val="1"/>
                <w:sz w:val="24"/>
              </w:rPr>
              <w:t>網頁</w:t>
            </w:r>
            <w:r>
              <w:rPr>
                <w:color w:val="BEBEBE"/>
                <w:spacing w:val="-3"/>
                <w:position w:val="1"/>
                <w:sz w:val="24"/>
              </w:rPr>
              <w:t>雙語教學</w:t>
            </w:r>
            <w:r w:rsidR="009034B4">
              <w:rPr>
                <w:rFonts w:hint="eastAsia"/>
                <w:color w:val="BEBEBE"/>
                <w:spacing w:val="-3"/>
                <w:position w:val="1"/>
                <w:sz w:val="24"/>
                <w:lang w:eastAsia="zh-HK"/>
              </w:rPr>
              <w:t>次專長</w:t>
            </w:r>
            <w:bookmarkStart w:id="0" w:name="_GoBack"/>
            <w:bookmarkEnd w:id="0"/>
            <w:r>
              <w:rPr>
                <w:color w:val="BEBEBE"/>
                <w:spacing w:val="-3"/>
                <w:position w:val="1"/>
                <w:sz w:val="24"/>
              </w:rPr>
              <w:t>修習課程說明。</w:t>
            </w:r>
          </w:p>
        </w:tc>
        <w:tc>
          <w:tcPr>
            <w:tcW w:w="5132" w:type="dxa"/>
            <w:gridSpan w:val="2"/>
          </w:tcPr>
          <w:p w:rsidR="009034B4" w:rsidRDefault="009034B4" w:rsidP="00C65338">
            <w:pPr>
              <w:pStyle w:val="TableParagraph"/>
              <w:spacing w:before="4"/>
              <w:ind w:left="107"/>
              <w:rPr>
                <w:spacing w:val="-2"/>
                <w:sz w:val="24"/>
              </w:rPr>
            </w:pPr>
          </w:p>
          <w:p w:rsidR="00C65338" w:rsidRPr="007C0EA6" w:rsidRDefault="00C65338" w:rsidP="007C0EA6">
            <w:pPr>
              <w:rPr>
                <w:sz w:val="24"/>
                <w:szCs w:val="24"/>
              </w:rPr>
            </w:pPr>
            <w:r w:rsidRPr="007C0EA6">
              <w:rPr>
                <w:sz w:val="24"/>
                <w:szCs w:val="24"/>
              </w:rPr>
              <w:t>審</w:t>
            </w:r>
            <w:r w:rsidR="00C03DC5" w:rsidRPr="007C0EA6">
              <w:rPr>
                <w:rFonts w:hint="eastAsia"/>
                <w:sz w:val="24"/>
                <w:szCs w:val="24"/>
              </w:rPr>
              <w:t>核</w:t>
            </w:r>
            <w:r w:rsidRPr="007C0EA6">
              <w:rPr>
                <w:sz w:val="24"/>
                <w:szCs w:val="24"/>
              </w:rPr>
              <w:t>結果</w:t>
            </w:r>
          </w:p>
          <w:p w:rsidR="00C65338" w:rsidRDefault="00C65338" w:rsidP="007C0EA6">
            <w:r w:rsidRPr="007C0EA6">
              <w:rPr>
                <w:sz w:val="24"/>
                <w:szCs w:val="24"/>
              </w:rPr>
              <w:t>□同意</w:t>
            </w:r>
            <w:r w:rsidRPr="007C0EA6">
              <w:rPr>
                <w:sz w:val="24"/>
                <w:szCs w:val="24"/>
              </w:rPr>
              <w:tab/>
              <w:t>□不同意</w:t>
            </w:r>
          </w:p>
        </w:tc>
      </w:tr>
    </w:tbl>
    <w:p w:rsidR="0013549A" w:rsidRDefault="0013549A"/>
    <w:sectPr w:rsidR="0013549A" w:rsidSect="005E20A1">
      <w:type w:val="continuous"/>
      <w:pgSz w:w="11910" w:h="16840"/>
      <w:pgMar w:top="567" w:right="851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3E8" w:rsidRDefault="006253E8" w:rsidP="00261A42">
      <w:r>
        <w:separator/>
      </w:r>
    </w:p>
  </w:endnote>
  <w:endnote w:type="continuationSeparator" w:id="0">
    <w:p w:rsidR="006253E8" w:rsidRDefault="006253E8" w:rsidP="0026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3E8" w:rsidRDefault="006253E8" w:rsidP="00261A42">
      <w:r>
        <w:separator/>
      </w:r>
    </w:p>
  </w:footnote>
  <w:footnote w:type="continuationSeparator" w:id="0">
    <w:p w:rsidR="006253E8" w:rsidRDefault="006253E8" w:rsidP="0026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B34AD"/>
    <w:multiLevelType w:val="hybridMultilevel"/>
    <w:tmpl w:val="039A6C9E"/>
    <w:lvl w:ilvl="0" w:tplc="5E8A69CA">
      <w:numFmt w:val="bullet"/>
      <w:lvlText w:val="□"/>
      <w:lvlJc w:val="left"/>
      <w:pPr>
        <w:ind w:left="587" w:hanging="483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09BCB862">
      <w:numFmt w:val="bullet"/>
      <w:lvlText w:val="•"/>
      <w:lvlJc w:val="left"/>
      <w:pPr>
        <w:ind w:left="1328" w:hanging="483"/>
      </w:pPr>
      <w:rPr>
        <w:rFonts w:hint="default"/>
        <w:lang w:val="en-US" w:eastAsia="zh-TW" w:bidi="ar-SA"/>
      </w:rPr>
    </w:lvl>
    <w:lvl w:ilvl="2" w:tplc="26F25F88">
      <w:numFmt w:val="bullet"/>
      <w:lvlText w:val="•"/>
      <w:lvlJc w:val="left"/>
      <w:pPr>
        <w:ind w:left="2077" w:hanging="483"/>
      </w:pPr>
      <w:rPr>
        <w:rFonts w:hint="default"/>
        <w:lang w:val="en-US" w:eastAsia="zh-TW" w:bidi="ar-SA"/>
      </w:rPr>
    </w:lvl>
    <w:lvl w:ilvl="3" w:tplc="504625EA">
      <w:numFmt w:val="bullet"/>
      <w:lvlText w:val="•"/>
      <w:lvlJc w:val="left"/>
      <w:pPr>
        <w:ind w:left="2825" w:hanging="483"/>
      </w:pPr>
      <w:rPr>
        <w:rFonts w:hint="default"/>
        <w:lang w:val="en-US" w:eastAsia="zh-TW" w:bidi="ar-SA"/>
      </w:rPr>
    </w:lvl>
    <w:lvl w:ilvl="4" w:tplc="D2F23158">
      <w:numFmt w:val="bullet"/>
      <w:lvlText w:val="•"/>
      <w:lvlJc w:val="left"/>
      <w:pPr>
        <w:ind w:left="3574" w:hanging="483"/>
      </w:pPr>
      <w:rPr>
        <w:rFonts w:hint="default"/>
        <w:lang w:val="en-US" w:eastAsia="zh-TW" w:bidi="ar-SA"/>
      </w:rPr>
    </w:lvl>
    <w:lvl w:ilvl="5" w:tplc="4EA6BC1C">
      <w:numFmt w:val="bullet"/>
      <w:lvlText w:val="•"/>
      <w:lvlJc w:val="left"/>
      <w:pPr>
        <w:ind w:left="4323" w:hanging="483"/>
      </w:pPr>
      <w:rPr>
        <w:rFonts w:hint="default"/>
        <w:lang w:val="en-US" w:eastAsia="zh-TW" w:bidi="ar-SA"/>
      </w:rPr>
    </w:lvl>
    <w:lvl w:ilvl="6" w:tplc="F222848E">
      <w:numFmt w:val="bullet"/>
      <w:lvlText w:val="•"/>
      <w:lvlJc w:val="left"/>
      <w:pPr>
        <w:ind w:left="5071" w:hanging="483"/>
      </w:pPr>
      <w:rPr>
        <w:rFonts w:hint="default"/>
        <w:lang w:val="en-US" w:eastAsia="zh-TW" w:bidi="ar-SA"/>
      </w:rPr>
    </w:lvl>
    <w:lvl w:ilvl="7" w:tplc="BC187298">
      <w:numFmt w:val="bullet"/>
      <w:lvlText w:val="•"/>
      <w:lvlJc w:val="left"/>
      <w:pPr>
        <w:ind w:left="5820" w:hanging="483"/>
      </w:pPr>
      <w:rPr>
        <w:rFonts w:hint="default"/>
        <w:lang w:val="en-US" w:eastAsia="zh-TW" w:bidi="ar-SA"/>
      </w:rPr>
    </w:lvl>
    <w:lvl w:ilvl="8" w:tplc="C7E41F9E">
      <w:numFmt w:val="bullet"/>
      <w:lvlText w:val="•"/>
      <w:lvlJc w:val="left"/>
      <w:pPr>
        <w:ind w:left="6568" w:hanging="483"/>
      </w:pPr>
      <w:rPr>
        <w:rFonts w:hint="default"/>
        <w:lang w:val="en-US" w:eastAsia="zh-TW" w:bidi="ar-SA"/>
      </w:rPr>
    </w:lvl>
  </w:abstractNum>
  <w:abstractNum w:abstractNumId="1" w15:restartNumberingAfterBreak="0">
    <w:nsid w:val="52763172"/>
    <w:multiLevelType w:val="hybridMultilevel"/>
    <w:tmpl w:val="5C1C0E0C"/>
    <w:lvl w:ilvl="0" w:tplc="5E1269AA">
      <w:start w:val="1"/>
      <w:numFmt w:val="decimal"/>
      <w:lvlText w:val="%1."/>
      <w:lvlJc w:val="left"/>
      <w:pPr>
        <w:ind w:left="355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1D803CCC">
      <w:numFmt w:val="bullet"/>
      <w:lvlText w:val="•"/>
      <w:lvlJc w:val="left"/>
      <w:pPr>
        <w:ind w:left="1286" w:hanging="248"/>
      </w:pPr>
      <w:rPr>
        <w:rFonts w:hint="default"/>
        <w:lang w:val="en-US" w:eastAsia="zh-TW" w:bidi="ar-SA"/>
      </w:rPr>
    </w:lvl>
    <w:lvl w:ilvl="2" w:tplc="A9720490">
      <w:numFmt w:val="bullet"/>
      <w:lvlText w:val="•"/>
      <w:lvlJc w:val="left"/>
      <w:pPr>
        <w:ind w:left="2212" w:hanging="248"/>
      </w:pPr>
      <w:rPr>
        <w:rFonts w:hint="default"/>
        <w:lang w:val="en-US" w:eastAsia="zh-TW" w:bidi="ar-SA"/>
      </w:rPr>
    </w:lvl>
    <w:lvl w:ilvl="3" w:tplc="889656DC">
      <w:numFmt w:val="bullet"/>
      <w:lvlText w:val="•"/>
      <w:lvlJc w:val="left"/>
      <w:pPr>
        <w:ind w:left="3138" w:hanging="248"/>
      </w:pPr>
      <w:rPr>
        <w:rFonts w:hint="default"/>
        <w:lang w:val="en-US" w:eastAsia="zh-TW" w:bidi="ar-SA"/>
      </w:rPr>
    </w:lvl>
    <w:lvl w:ilvl="4" w:tplc="AE322FCE">
      <w:numFmt w:val="bullet"/>
      <w:lvlText w:val="•"/>
      <w:lvlJc w:val="left"/>
      <w:pPr>
        <w:ind w:left="4064" w:hanging="248"/>
      </w:pPr>
      <w:rPr>
        <w:rFonts w:hint="default"/>
        <w:lang w:val="en-US" w:eastAsia="zh-TW" w:bidi="ar-SA"/>
      </w:rPr>
    </w:lvl>
    <w:lvl w:ilvl="5" w:tplc="4DC6FBD0">
      <w:numFmt w:val="bullet"/>
      <w:lvlText w:val="•"/>
      <w:lvlJc w:val="left"/>
      <w:pPr>
        <w:ind w:left="4991" w:hanging="248"/>
      </w:pPr>
      <w:rPr>
        <w:rFonts w:hint="default"/>
        <w:lang w:val="en-US" w:eastAsia="zh-TW" w:bidi="ar-SA"/>
      </w:rPr>
    </w:lvl>
    <w:lvl w:ilvl="6" w:tplc="F0F0DD74">
      <w:numFmt w:val="bullet"/>
      <w:lvlText w:val="•"/>
      <w:lvlJc w:val="left"/>
      <w:pPr>
        <w:ind w:left="5917" w:hanging="248"/>
      </w:pPr>
      <w:rPr>
        <w:rFonts w:hint="default"/>
        <w:lang w:val="en-US" w:eastAsia="zh-TW" w:bidi="ar-SA"/>
      </w:rPr>
    </w:lvl>
    <w:lvl w:ilvl="7" w:tplc="4DCAD1EE">
      <w:numFmt w:val="bullet"/>
      <w:lvlText w:val="•"/>
      <w:lvlJc w:val="left"/>
      <w:pPr>
        <w:ind w:left="6843" w:hanging="248"/>
      </w:pPr>
      <w:rPr>
        <w:rFonts w:hint="default"/>
        <w:lang w:val="en-US" w:eastAsia="zh-TW" w:bidi="ar-SA"/>
      </w:rPr>
    </w:lvl>
    <w:lvl w:ilvl="8" w:tplc="1CBEEA98">
      <w:numFmt w:val="bullet"/>
      <w:lvlText w:val="•"/>
      <w:lvlJc w:val="left"/>
      <w:pPr>
        <w:ind w:left="7769" w:hanging="248"/>
      </w:pPr>
      <w:rPr>
        <w:rFonts w:hint="default"/>
        <w:lang w:val="en-US" w:eastAsia="zh-TW" w:bidi="ar-SA"/>
      </w:rPr>
    </w:lvl>
  </w:abstractNum>
  <w:abstractNum w:abstractNumId="2" w15:restartNumberingAfterBreak="0">
    <w:nsid w:val="5B08097F"/>
    <w:multiLevelType w:val="hybridMultilevel"/>
    <w:tmpl w:val="ABF460D6"/>
    <w:lvl w:ilvl="0" w:tplc="1262AB0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315CEB76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C4"/>
    <w:rsid w:val="0013549A"/>
    <w:rsid w:val="00261A42"/>
    <w:rsid w:val="00426BC4"/>
    <w:rsid w:val="004274A7"/>
    <w:rsid w:val="004E70BA"/>
    <w:rsid w:val="00502283"/>
    <w:rsid w:val="00563EC4"/>
    <w:rsid w:val="005C28E0"/>
    <w:rsid w:val="005E20A1"/>
    <w:rsid w:val="006253E8"/>
    <w:rsid w:val="00663DBA"/>
    <w:rsid w:val="007C0EA6"/>
    <w:rsid w:val="00845058"/>
    <w:rsid w:val="008D0953"/>
    <w:rsid w:val="009034B4"/>
    <w:rsid w:val="009567DC"/>
    <w:rsid w:val="00A736EB"/>
    <w:rsid w:val="00B7235D"/>
    <w:rsid w:val="00B87ED1"/>
    <w:rsid w:val="00C03DC5"/>
    <w:rsid w:val="00C65338"/>
    <w:rsid w:val="00EE4632"/>
    <w:rsid w:val="00FA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1F214"/>
  <w15:docId w15:val="{1E34126E-A988-46EF-9596-255381B2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2" w:after="8"/>
      <w:ind w:left="6392"/>
    </w:pPr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61A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1A42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261A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1A42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國立新竹師範學院抵免學分申請表</dc:title>
  <dc:creator>test</dc:creator>
  <cp:lastModifiedBy>USER</cp:lastModifiedBy>
  <cp:revision>3</cp:revision>
  <dcterms:created xsi:type="dcterms:W3CDTF">2023-08-21T06:52:00Z</dcterms:created>
  <dcterms:modified xsi:type="dcterms:W3CDTF">2023-08-21T06:54:00Z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2023-01-09T00:00:00Z</vt:filetime>
  </property>
</Properties>
</file>